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4B91A3D4" w14:textId="4CEBD3D8" w:rsidR="0086318A" w:rsidRPr="007B16E7" w:rsidRDefault="0086318A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7B16E7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>Eksploatacja stacji ładowania pojazdów elektrycznych</w:t>
      </w:r>
    </w:p>
    <w:p w14:paraId="09BB8A51" w14:textId="712C4CF7" w:rsidR="00D7389F" w:rsidRDefault="00752227" w:rsidP="00F046F4">
      <w:pPr>
        <w:tabs>
          <w:tab w:val="left" w:pos="1891"/>
        </w:tabs>
        <w:jc w:val="center"/>
      </w:pPr>
      <w:r w:rsidRPr="007B16E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opracowany w ramach konkursu „Utworzenie i wsparcie funkcjonowania                    120 Branżowych Centrów Umiejętności (BCU), realizujących koncepcję Centrów Doskonałości Zawodowej (CoVEs)” numer przedsięwzięcia </w:t>
      </w:r>
      <w:r w:rsidR="00F046F4" w:rsidRPr="007B16E7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5F24C660" w14:textId="1F68C5FC" w:rsidR="00BB0D93" w:rsidRDefault="008D7ED0" w:rsidP="00B06C75">
      <w:pPr>
        <w:jc w:val="center"/>
      </w:pPr>
      <w:r>
        <w:t>Nowa Sól, 2025</w:t>
      </w:r>
    </w:p>
    <w:p w14:paraId="60903A73" w14:textId="77777777" w:rsidR="00B87E18" w:rsidRDefault="00B87E18" w:rsidP="00004440">
      <w:pPr>
        <w:jc w:val="right"/>
        <w:rPr>
          <w:sz w:val="18"/>
          <w:szCs w:val="18"/>
        </w:rPr>
      </w:pPr>
    </w:p>
    <w:p w14:paraId="2DBFABDF" w14:textId="77777777" w:rsidR="00E22AF6" w:rsidRDefault="00E22AF6" w:rsidP="00D95141">
      <w:pPr>
        <w:jc w:val="right"/>
        <w:rPr>
          <w:sz w:val="18"/>
          <w:szCs w:val="18"/>
        </w:rPr>
      </w:pPr>
    </w:p>
    <w:p w14:paraId="5BBAB1C1" w14:textId="4F55E85A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6A589CBF" w:rsidR="00BB0D93" w:rsidRDefault="004E32CE" w:rsidP="00BB0D93">
            <w:r>
              <w:t xml:space="preserve">Osoby dorosłe 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31ED466" w:rsidR="00BB0D93" w:rsidRDefault="003F372D" w:rsidP="00BB0D93">
            <w:r>
              <w:t>4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6FBA310" w:rsidR="00BB0D93" w:rsidRDefault="003F372D" w:rsidP="00BB0D93">
            <w:r>
              <w:t>30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1FBF8A4E" w:rsidR="00A60051" w:rsidRDefault="00752227" w:rsidP="00A60051">
      <w:pPr>
        <w:pStyle w:val="Akapitzlist"/>
      </w:pPr>
      <w:r w:rsidRPr="00752227">
        <w:rPr>
          <w:rFonts w:cs="Calibri"/>
        </w:rPr>
        <w:t xml:space="preserve">Uczestnicy powinni posiadać ukończoną branżową I stopnia (zasadnicza szkoła zawodowa), średnią lub wyższą o kierunkach związanych z motoryzacją, mechaniką, mechatroniką, elektryką, elektromechaniką, elektromobilnością i nowymi technologiami w motoryzacji. Wskazana jest znajomość ogólnych zagadnień technicznych i zrozumienia zasad działania urządzeń motoryzacyjnych i elektrycznych. Wymagana jest umiejętność obsługi komputera i podstawowych programów, jak edytor tekstu, arkusz kalkulacyjny, czytnik PDF. Zaletą będzie posiadanie praktycznych umiejętności manualnych związanych z obsługą podstawowych urządzeń pomiarowych oraz umiejętność czytania dokumentacji technicznej z naciskiem na schematy elektryczne. Wymagana podstawowa znajomość języka angielskiego. 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0E33B164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</w:t>
      </w:r>
      <w:r w:rsidR="00AB394A">
        <w:t xml:space="preserve">i serwisowania </w:t>
      </w:r>
      <w:r w:rsidR="00994FF7">
        <w:t xml:space="preserve">stacji ładowania </w:t>
      </w:r>
      <w:r>
        <w:t xml:space="preserve">pojazdów </w:t>
      </w:r>
      <w:r w:rsidR="008D7ED0" w:rsidRPr="008D7ED0">
        <w:t>elektrycznych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 xml:space="preserve">Poznanie budowy kluczowych komponentów </w:t>
      </w:r>
      <w:r w:rsidR="00994FF7">
        <w:rPr>
          <w:rFonts w:asciiTheme="minorHAnsi" w:hAnsiTheme="minorHAnsi" w:cstheme="minorHAnsi"/>
        </w:rPr>
        <w:t>stacji ładowania</w:t>
      </w:r>
      <w:r w:rsidRPr="00DE043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</w:p>
    <w:p w14:paraId="73A71F51" w14:textId="17E408C5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 xml:space="preserve">rozwoju umiejętności praktycznych </w:t>
      </w:r>
      <w:r w:rsidR="00167239">
        <w:t>w zakresie</w:t>
      </w:r>
      <w:r w:rsidR="00994FF7">
        <w:t xml:space="preserve"> eksploatacji,</w:t>
      </w:r>
      <w:r w:rsidR="00167239">
        <w:t xml:space="preserve"> monitorowania i zarządzania stacjami ładowania pojazdów elektrycznych</w:t>
      </w:r>
      <w:r w:rsidR="00994FF7">
        <w:t>.</w:t>
      </w:r>
    </w:p>
    <w:p w14:paraId="7E317010" w14:textId="22311C53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  <w:r w:rsidR="00994FF7">
        <w:rPr>
          <w:spacing w:val="-2"/>
        </w:rPr>
        <w:t>.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5E755BC0" w14:textId="77777777" w:rsidR="00F3320E" w:rsidRDefault="00F3320E" w:rsidP="00F3320E">
      <w:pPr>
        <w:pStyle w:val="Tekstpodstawowy"/>
        <w:spacing w:before="1"/>
        <w:ind w:left="567" w:firstLine="284"/>
      </w:pPr>
    </w:p>
    <w:p w14:paraId="4DB08455" w14:textId="77777777" w:rsidR="00AB394A" w:rsidRDefault="00AB394A" w:rsidP="00F3320E">
      <w:pPr>
        <w:pStyle w:val="Tekstpodstawowy"/>
        <w:ind w:left="567" w:firstLine="284"/>
      </w:pPr>
    </w:p>
    <w:p w14:paraId="574DAE83" w14:textId="47B6DFB2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2EAD8E66" w14:textId="0434EBF4" w:rsidR="00994FF7" w:rsidRDefault="00752227" w:rsidP="00E22AF6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lastRenderedPageBreak/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E22AF6">
        <w:t>,</w:t>
      </w:r>
    </w:p>
    <w:p w14:paraId="213A658A" w14:textId="51185CD1" w:rsidR="008E7C92" w:rsidRPr="00C13BB5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</w:p>
    <w:p w14:paraId="58562EEE" w14:textId="3C6D2755" w:rsidR="008E7C92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opisywać</w:t>
      </w:r>
      <w:r w:rsidR="008E7C92">
        <w:rPr>
          <w:spacing w:val="-2"/>
        </w:rPr>
        <w:t xml:space="preserve"> zasadę realizacji rekuperacji w pojeździe </w:t>
      </w:r>
      <w:r w:rsidR="00167239">
        <w:rPr>
          <w:spacing w:val="-2"/>
        </w:rPr>
        <w:t>elektrycznym,</w:t>
      </w:r>
    </w:p>
    <w:p w14:paraId="53A7E55E" w14:textId="3F4DBA11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 xml:space="preserve">stosować </w:t>
      </w:r>
      <w:r w:rsidR="00CD1273">
        <w:t>zasady postępowania</w:t>
      </w:r>
      <w:r w:rsidR="008E7C92">
        <w:t xml:space="preserve"> z pojazdami </w:t>
      </w:r>
      <w:r w:rsidR="00994FF7">
        <w:t>elektrycznymi i</w:t>
      </w:r>
      <w:r w:rsidR="008E7C92">
        <w:t xml:space="preserve"> instalacjami wysokonapięciowymi </w:t>
      </w:r>
    </w:p>
    <w:p w14:paraId="6B17257B" w14:textId="0DAA11EA" w:rsidR="008E7C92" w:rsidRDefault="00CD1273" w:rsidP="00994FF7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 xml:space="preserve">wykonywać czynności </w:t>
      </w:r>
      <w:r w:rsidR="00994FF7">
        <w:t xml:space="preserve">eksploatacyjne, </w:t>
      </w:r>
      <w:r w:rsidR="00994FF7" w:rsidRPr="00994FF7">
        <w:t>monitorowania i zarządzania stacjami ładowania</w:t>
      </w:r>
      <w:r w:rsidR="00994FF7">
        <w:t xml:space="preserve">         </w:t>
      </w:r>
      <w:r w:rsidR="00994FF7" w:rsidRPr="00994FF7">
        <w:t>pojazdów elektrycznych.</w:t>
      </w:r>
    </w:p>
    <w:p w14:paraId="45D6B8FD" w14:textId="57053ACB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omawia</w:t>
      </w:r>
      <w:r w:rsidR="00AB394A">
        <w:t>ć</w:t>
      </w:r>
      <w:r>
        <w:t xml:space="preserve"> podstawy budowy i funkcjonalności stacji ładowania,</w:t>
      </w:r>
    </w:p>
    <w:p w14:paraId="594E7946" w14:textId="6307A972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korzystać z systemów do zarządzania stacjami ładowania (CMS),</w:t>
      </w:r>
    </w:p>
    <w:p w14:paraId="0CE6A8B0" w14:textId="73787A6B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monitorować stan i parametry stacji ładowania,</w:t>
      </w:r>
    </w:p>
    <w:p w14:paraId="767173DC" w14:textId="7DF54344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zadawać żądane parametry</w:t>
      </w:r>
      <w:r w:rsidR="00AB394A">
        <w:t xml:space="preserve"> stacji ładowania</w:t>
      </w:r>
      <w:r>
        <w:t>,</w:t>
      </w:r>
    </w:p>
    <w:p w14:paraId="258D7A8D" w14:textId="2D355E89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symulować proces ładowania,</w:t>
      </w:r>
    </w:p>
    <w:p w14:paraId="5809C982" w14:textId="3CDEC785" w:rsidR="00AB394A" w:rsidRDefault="00AB394A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używać symulatorów i urządzeń pomiarowych stacji ładowania,</w:t>
      </w:r>
    </w:p>
    <w:p w14:paraId="04D38E6E" w14:textId="7DCC99C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tworzyć schematy do zarządzania stacjami ładowania.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Pr="00752227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7DAEF07B" w14:textId="28D0EC44" w:rsidR="008E7C92" w:rsidRPr="00FC5D7D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rozwiązaniami</w:t>
      </w:r>
    </w:p>
    <w:p w14:paraId="146A17F7" w14:textId="7DE9EB7D" w:rsidR="008E7C92" w:rsidRDefault="008E7C92" w:rsidP="008E7C92">
      <w:pPr>
        <w:tabs>
          <w:tab w:val="left" w:pos="2437"/>
        </w:tabs>
      </w:pPr>
    </w:p>
    <w:p w14:paraId="323A0ECE" w14:textId="45261BCC" w:rsidR="008E7C92" w:rsidRPr="008E7C92" w:rsidRDefault="008E7C92" w:rsidP="008E7C92">
      <w:pPr>
        <w:tabs>
          <w:tab w:val="left" w:pos="2437"/>
        </w:tabs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  <w:r>
        <w:tab/>
      </w:r>
    </w:p>
    <w:p w14:paraId="72437F06" w14:textId="77777777" w:rsidR="00564384" w:rsidRPr="00AE7C62" w:rsidRDefault="00564384" w:rsidP="00AE7C62">
      <w:pPr>
        <w:pStyle w:val="Default"/>
        <w:ind w:left="709"/>
      </w:pP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30424F0F" w:rsidR="004F1919" w:rsidRDefault="00994FF7" w:rsidP="00004440">
            <w:r>
              <w:t>2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530A8CAE" w:rsidR="0057224C" w:rsidRPr="00A46FE7" w:rsidRDefault="00994FF7" w:rsidP="009B1C31">
            <w:r w:rsidRPr="00994FF7">
              <w:t>Podstawy budowy i funkcjonalności stacji ładowania.</w:t>
            </w:r>
          </w:p>
        </w:tc>
        <w:tc>
          <w:tcPr>
            <w:tcW w:w="1978" w:type="dxa"/>
          </w:tcPr>
          <w:p w14:paraId="5180A091" w14:textId="465DFCF3" w:rsidR="0029758A" w:rsidRDefault="0029758A" w:rsidP="00B80964">
            <w:r>
              <w:t>4</w:t>
            </w:r>
          </w:p>
        </w:tc>
      </w:tr>
      <w:tr w:rsidR="00B80964" w14:paraId="580801A6" w14:textId="25B507C2" w:rsidTr="004F1919">
        <w:tc>
          <w:tcPr>
            <w:tcW w:w="7650" w:type="dxa"/>
          </w:tcPr>
          <w:p w14:paraId="4E9F8040" w14:textId="636FE993" w:rsidR="00B80964" w:rsidRDefault="00994FF7" w:rsidP="00B80964">
            <w:r>
              <w:t>Instalacja stacji ładowania</w:t>
            </w:r>
          </w:p>
        </w:tc>
        <w:tc>
          <w:tcPr>
            <w:tcW w:w="1978" w:type="dxa"/>
          </w:tcPr>
          <w:p w14:paraId="2CF766E8" w14:textId="141AF2B4" w:rsidR="00B80964" w:rsidRDefault="0029758A" w:rsidP="00B80964">
            <w:r>
              <w:t>8</w:t>
            </w:r>
          </w:p>
        </w:tc>
      </w:tr>
      <w:tr w:rsidR="009B1C31" w14:paraId="5CA4A664" w14:textId="77777777" w:rsidTr="004F1919">
        <w:tc>
          <w:tcPr>
            <w:tcW w:w="7650" w:type="dxa"/>
          </w:tcPr>
          <w:p w14:paraId="4064FDFB" w14:textId="5F9BD1D6" w:rsidR="009B1C31" w:rsidRPr="00B80964" w:rsidRDefault="00994FF7" w:rsidP="00B80964">
            <w:r>
              <w:t>Czynności serwisowe stacji ładowania</w:t>
            </w:r>
          </w:p>
        </w:tc>
        <w:tc>
          <w:tcPr>
            <w:tcW w:w="1978" w:type="dxa"/>
          </w:tcPr>
          <w:p w14:paraId="7D706A22" w14:textId="70DE1D67" w:rsidR="009B1C31" w:rsidRDefault="0029758A" w:rsidP="00B80964">
            <w:r>
              <w:t>8</w:t>
            </w:r>
          </w:p>
        </w:tc>
      </w:tr>
      <w:tr w:rsidR="00B80964" w14:paraId="0E5925A1" w14:textId="5DB43BC6" w:rsidTr="004F1919">
        <w:tc>
          <w:tcPr>
            <w:tcW w:w="7650" w:type="dxa"/>
          </w:tcPr>
          <w:p w14:paraId="66ACCD9E" w14:textId="77B34CEC" w:rsidR="00B80964" w:rsidRDefault="00CD1273" w:rsidP="00B80964">
            <w:r>
              <w:t>M</w:t>
            </w:r>
            <w:r w:rsidRPr="00CD1273">
              <w:t>onitorowa</w:t>
            </w:r>
            <w:r>
              <w:t>nie i zarządzanie stacjami ładowania</w:t>
            </w:r>
          </w:p>
        </w:tc>
        <w:tc>
          <w:tcPr>
            <w:tcW w:w="1978" w:type="dxa"/>
          </w:tcPr>
          <w:p w14:paraId="66661104" w14:textId="16494E7B" w:rsidR="00B80964" w:rsidRDefault="00CD1273" w:rsidP="00B80964">
            <w:r>
              <w:t>8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50F73DE1" w:rsidR="00B80964" w:rsidRDefault="00023FE1" w:rsidP="00B80964">
            <w:r>
              <w:t>30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146A07B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3D877F27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 xml:space="preserve">w pojazdach pojazdów elektrycznych oraz infrastrukturze służącej do ich ładowania, </w:t>
            </w:r>
          </w:p>
          <w:p w14:paraId="1225C760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4E5E56EF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Uwzględnia elementy środowiskowe, ekonomiczne, prawne i ICT przy formułowaniu i rozwiązywaniu zadań dotyczących budowy pojazdów elektrycznych i stacji ładowania.</w:t>
            </w:r>
          </w:p>
          <w:p w14:paraId="1439FD59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0FB8EFBD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44D1E62C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43780EE2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FDFD954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79A15490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Rozpoznaje zagrożenia dla środowiska związane z pracą w obszarze pojazdów elektrycznych i stacji ładowania.</w:t>
            </w:r>
          </w:p>
          <w:p w14:paraId="3D360BA1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5D68E7F1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Identyfikuje zagrożenia związane z realizacją zadań w obszarze pojazdów elektrycznych i stacji ładowania.</w:t>
            </w:r>
          </w:p>
          <w:p w14:paraId="1C96FB32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672F5D31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1F170B34" w14:textId="77777777" w:rsidR="0029758A" w:rsidRPr="0029758A" w:rsidRDefault="0029758A" w:rsidP="0029758A">
            <w:pPr>
              <w:pStyle w:val="Default"/>
              <w:rPr>
                <w:sz w:val="22"/>
                <w:szCs w:val="22"/>
              </w:rPr>
            </w:pPr>
          </w:p>
          <w:p w14:paraId="5AE94ED4" w14:textId="52157AAB" w:rsidR="00DD5B5F" w:rsidRPr="00DD5B5F" w:rsidRDefault="0029758A" w:rsidP="0029758A">
            <w:pPr>
              <w:pStyle w:val="Default"/>
              <w:rPr>
                <w:sz w:val="22"/>
                <w:szCs w:val="22"/>
              </w:rPr>
            </w:pPr>
            <w:r w:rsidRPr="0029758A">
              <w:rPr>
                <w:sz w:val="22"/>
                <w:szCs w:val="22"/>
              </w:rPr>
              <w:lastRenderedPageBreak/>
              <w:t>Stosuje środki ochrony indywidualnej i zbiorowej podczas wykonywania zadań w obszarze pojazdów elektrycznych i stacji ładowania.</w:t>
            </w:r>
          </w:p>
          <w:p w14:paraId="463B1379" w14:textId="44E4768B" w:rsidR="006B3520" w:rsidRPr="006B3520" w:rsidRDefault="006B3520" w:rsidP="00DD5B5F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29758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05DAC8EF" w:rsidR="0029758A" w:rsidRPr="002B42DC" w:rsidRDefault="0029758A" w:rsidP="0029758A">
            <w:pPr>
              <w:rPr>
                <w:b/>
                <w:bCs/>
              </w:rPr>
            </w:pPr>
            <w:r w:rsidRPr="00311412">
              <w:rPr>
                <w:b/>
                <w:bCs/>
              </w:rPr>
              <w:t>Nazwa zajęć: Podstawy budowy i funkcjonalności stacji ładowania.</w:t>
            </w:r>
          </w:p>
        </w:tc>
      </w:tr>
      <w:tr w:rsidR="0029758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072F4718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29758A" w14:paraId="0543D723" w14:textId="77777777" w:rsidTr="005B232A">
        <w:trPr>
          <w:trHeight w:val="1108"/>
        </w:trPr>
        <w:tc>
          <w:tcPr>
            <w:tcW w:w="9697" w:type="dxa"/>
          </w:tcPr>
          <w:p w14:paraId="6551310F" w14:textId="77777777" w:rsidR="002B4DA4" w:rsidRDefault="002B4DA4" w:rsidP="002B4DA4">
            <w:r>
              <w:t>Opisuje podstawowe pojęcia z zakresu elektryczności jak: prąd elektryczny, napięcie, natężenie, opór, praca, moc, odbiornik, połączenie szeregowe, połączenie równoległe.</w:t>
            </w:r>
          </w:p>
          <w:p w14:paraId="76D3EBC1" w14:textId="77777777" w:rsidR="002B4DA4" w:rsidRDefault="002B4DA4" w:rsidP="002B4DA4">
            <w:r>
              <w:t>Stosuje prawa elektrotechniki jak prawo Ohma, prawo Kirchhoffa.</w:t>
            </w:r>
          </w:p>
          <w:p w14:paraId="3EB5E9AC" w14:textId="48833112" w:rsidR="002B4DA4" w:rsidRDefault="002B4DA4" w:rsidP="0029758A">
            <w:r>
              <w:t>Omawia zastosowanie programu MATLAB.</w:t>
            </w:r>
          </w:p>
          <w:p w14:paraId="61305B0E" w14:textId="77562427" w:rsidR="0029758A" w:rsidRDefault="0029758A" w:rsidP="0029758A">
            <w:r>
              <w:t>Charakteryzuje rodzaje stacji ładowania ze względu na rodzaj prądu AC (Alternating Current) i DC (Direct Current),</w:t>
            </w:r>
          </w:p>
          <w:p w14:paraId="172223CC" w14:textId="77777777" w:rsidR="0029758A" w:rsidRDefault="0029758A" w:rsidP="0029758A">
            <w:r>
              <w:t>R</w:t>
            </w:r>
            <w:r w:rsidRPr="004D1C9C">
              <w:t>ozróżnia pojęcia: stacja ładowania, punkt ładowania, EVSE (sprzęt lub system służący do dostarczania energii elektrycznej do akumulatorów pojazdu elektrycznego z ang. Electric Vehicle Supply Equipment), OBC (ładowarka pokładowa z ang. On-Board Charger,),</w:t>
            </w:r>
          </w:p>
          <w:p w14:paraId="13C3F851" w14:textId="77777777" w:rsidR="0029758A" w:rsidRDefault="0029758A" w:rsidP="0029758A">
            <w:r>
              <w:t>Opisuje poziomy ładowania (level 1 – poziom 1, level 2 – poziom 2, level 3 – poziom 3, level 4 – poziom 4),</w:t>
            </w:r>
          </w:p>
          <w:p w14:paraId="6019FF89" w14:textId="77777777" w:rsidR="0029758A" w:rsidRDefault="0029758A" w:rsidP="0029758A">
            <w:r>
              <w:t>Rozróżnia standardy złączy ładowania, np. CCS (Combined Charging System) – Combo 1, CCS Combo 2, CHAdeMO, GB/T, Tesla EU, NACS (North American Charging Standard), Typ 1, Typ 2, Schuko, CEE, MCS (Megawatt Charging System),</w:t>
            </w:r>
          </w:p>
          <w:p w14:paraId="606D08E1" w14:textId="77777777" w:rsidR="0029758A" w:rsidRDefault="0029758A" w:rsidP="0029758A">
            <w:r>
              <w:t>P</w:t>
            </w:r>
            <w:r w:rsidRPr="004D1C9C">
              <w:t>osługuje się pojęciami: stacja wolnego, szybkiego i ultraszybkiego ładowania HPC (ultraszybkie ładowanie z ang. High Power Charging), system megawatowy MCS (megawatowy system ładowania z ang. Megawatt Charging System),</w:t>
            </w:r>
          </w:p>
          <w:p w14:paraId="51FA7EF9" w14:textId="77777777" w:rsidR="0029758A" w:rsidRDefault="0029758A" w:rsidP="0029758A">
            <w:r>
              <w:t>Opisuje standardy ładowania i komunikacji (ISO 15118, OCPP 1.6, 2.1),</w:t>
            </w:r>
          </w:p>
          <w:p w14:paraId="11E5EB21" w14:textId="77777777" w:rsidR="0029758A" w:rsidRDefault="0029758A" w:rsidP="0029758A">
            <w:r>
              <w:lastRenderedPageBreak/>
              <w:t>O</w:t>
            </w:r>
            <w:r w:rsidRPr="004D1C9C">
              <w:t>pisuje pojęcia: V2G (technologia umożliwiająca dwukierunkowy przepływ energii między samochodem elektrycznym a siecią elektroenergetyczną z ang. Vehicle-to-Grid), V2V (technologia polegająca na dwukierunkowym przepływie energii, która pozwala jednemu pojazdowi elektrycznemu zasilać energią inny pojazd elektryczny z ang. Vehicle-to-Vehicle), V2X (technologia dwukierunkowej komunikacji i przesyłu energii, dzięki której samochód elektryczny może oddawać zgromadzoną w akumulatorze energię do zewnętrznych odbiorników z ang. Vehicle-to-Everything), Plug &amp; Charge (funkcja „podłącz i ładuj” dla pojazdów elektrycznych, która umożliwia automatyczne rozpoczęcie procesu ładowania i rozliczenia po podłączeniu pojazdu do kompatybilnej stacji ładowania, eliminując potrzebę stosowania kart, aplikacji lub innych metod uwierzytelniania), OCPP (otwarty, międzynarodowy protokół komunikacyjny typu standard, który umożliwia wymianę informacji i poleceń pomiędzy stacjami ładowania pojazdów elektrycznych a centralnymi systemami zarządzania z ang. Open Charge Point Protocol).</w:t>
            </w:r>
          </w:p>
          <w:p w14:paraId="3C7A0E35" w14:textId="77777777" w:rsidR="0029758A" w:rsidRDefault="0029758A" w:rsidP="0029758A">
            <w:r w:rsidRPr="004D1C9C">
              <w:t>Omawia architekturę systemów teleinformatycznych dedykowanych dla elektromobilności</w:t>
            </w:r>
            <w:r>
              <w:t>,</w:t>
            </w:r>
          </w:p>
          <w:p w14:paraId="24599449" w14:textId="77777777" w:rsidR="0029758A" w:rsidRDefault="0029758A" w:rsidP="0029758A">
            <w:r w:rsidRPr="004D1C9C">
              <w:t>Posługuje się oprogramowaniem serwisowym i CMS (oprogramowanie do nadzoru nad procesem ładowania pojazdów elektrycznych - System Zarządzania Ładowaniem z ang. Charging Management System)</w:t>
            </w:r>
            <w:r>
              <w:t>.</w:t>
            </w:r>
          </w:p>
          <w:p w14:paraId="08D3F82F" w14:textId="77777777" w:rsidR="007713D6" w:rsidRDefault="007713D6" w:rsidP="0029758A">
            <w:r>
              <w:t>W</w:t>
            </w:r>
            <w:r w:rsidRPr="007713D6">
              <w:t>yjaśnia wymagania ISO 15118 (Plug &amp; Charge, cyberbezpieczeństwo).</w:t>
            </w:r>
          </w:p>
          <w:p w14:paraId="7E365410" w14:textId="5BF1DFDE" w:rsidR="007713D6" w:rsidRDefault="007713D6" w:rsidP="0029758A">
            <w:r w:rsidRPr="007713D6">
              <w:t>Uwzględnia regulacje prawne i rynkowe</w:t>
            </w:r>
            <w:r w:rsidR="004152E4">
              <w:t xml:space="preserve"> jak np. </w:t>
            </w:r>
            <w:r w:rsidR="004152E4" w:rsidRPr="004152E4">
              <w:t>Ustawa z dn. 11 stycznia 2018 r. o elektromobilności i paliwach alternatywnych (Dz. U. 2018 poz. 317 z późn. zm.), Rozporządzenie Ministra Energii z dn. 26 czerwca 2019 r. w sprawie wymagań technicznych dla stacji i punktów ładowania stanowiących element infrastruktury ładowania drogowego transportu publicznego (Dz. U. 2019 poz. 1316).</w:t>
            </w:r>
          </w:p>
        </w:tc>
      </w:tr>
      <w:tr w:rsidR="0029758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46E20449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29758A" w14:paraId="5F66472D" w14:textId="77777777" w:rsidTr="005B232A">
        <w:trPr>
          <w:trHeight w:val="804"/>
        </w:trPr>
        <w:tc>
          <w:tcPr>
            <w:tcW w:w="9697" w:type="dxa"/>
          </w:tcPr>
          <w:p w14:paraId="79697502" w14:textId="20A16597" w:rsidR="0029758A" w:rsidRDefault="0029758A" w:rsidP="0029758A">
            <w:r>
              <w:t xml:space="preserve">Posługuje się narzędziami cyfrowymi </w:t>
            </w:r>
          </w:p>
          <w:p w14:paraId="5DBABBF2" w14:textId="56DB7D9C" w:rsidR="0029758A" w:rsidRDefault="0029758A" w:rsidP="0029758A">
            <w:r>
              <w:t xml:space="preserve">Pozyskuje dane </w:t>
            </w:r>
          </w:p>
          <w:p w14:paraId="3FC76479" w14:textId="5AAE714D" w:rsidR="0029758A" w:rsidRDefault="0029758A" w:rsidP="0029758A">
            <w:r>
              <w:t>Generuje raporty pomiarowe</w:t>
            </w:r>
          </w:p>
        </w:tc>
      </w:tr>
      <w:tr w:rsidR="0029758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559A6A79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29758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51785AA6" w14:textId="77777777" w:rsidR="00E81540" w:rsidRDefault="00E81540" w:rsidP="00E81540">
            <w:r>
              <w:t>Opisuje elektryczne układy napędowe.</w:t>
            </w:r>
          </w:p>
          <w:p w14:paraId="7B60236A" w14:textId="3590E0F8" w:rsidR="0029758A" w:rsidRPr="00444B13" w:rsidRDefault="00E81540" w:rsidP="0029758A">
            <w:r>
              <w:t>Dostosowuje harmonogramy przesyłu energii.</w:t>
            </w:r>
          </w:p>
        </w:tc>
      </w:tr>
      <w:tr w:rsidR="0029758A" w:rsidRPr="00FA3D32" w14:paraId="256DCCB9" w14:textId="77777777" w:rsidTr="002B42DC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379C23" w14:textId="09063E6E" w:rsidR="0029758A" w:rsidRPr="00DD5B5F" w:rsidRDefault="0029758A" w:rsidP="0029758A">
            <w:pPr>
              <w:rPr>
                <w:b/>
                <w:bCs/>
                <w:highlight w:val="red"/>
              </w:rPr>
            </w:pPr>
            <w:r w:rsidRPr="009C121A">
              <w:rPr>
                <w:b/>
                <w:bCs/>
              </w:rPr>
              <w:t xml:space="preserve">Nazwa zajęć: </w:t>
            </w:r>
            <w:r w:rsidR="007713D6" w:rsidRPr="007713D6">
              <w:rPr>
                <w:b/>
                <w:bCs/>
              </w:rPr>
              <w:t>Instalacja stacji ładowania</w:t>
            </w:r>
          </w:p>
        </w:tc>
      </w:tr>
      <w:tr w:rsidR="0029758A" w:rsidRPr="00E07576" w14:paraId="230DCC73" w14:textId="77777777" w:rsidTr="00C53EEB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00539F2A" w14:textId="0E6F14D5" w:rsidR="0029758A" w:rsidRPr="00DD5B5F" w:rsidRDefault="0029758A" w:rsidP="0029758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29758A" w14:paraId="5442AA3C" w14:textId="77777777" w:rsidTr="005B232A">
        <w:trPr>
          <w:trHeight w:val="1116"/>
        </w:trPr>
        <w:tc>
          <w:tcPr>
            <w:tcW w:w="9697" w:type="dxa"/>
          </w:tcPr>
          <w:p w14:paraId="2C1CCE17" w14:textId="75509284" w:rsidR="0029758A" w:rsidRDefault="0029758A" w:rsidP="0029758A">
            <w:r>
              <w:lastRenderedPageBreak/>
              <w:t xml:space="preserve">Stosuje normy i BHP w przygotowaniu </w:t>
            </w:r>
            <w:r w:rsidR="007713D6">
              <w:t xml:space="preserve">i instalacji stacji ładowania (jak np. </w:t>
            </w:r>
            <w:r w:rsidR="007713D6" w:rsidRPr="007713D6">
              <w:t>LOTO – zamknąć i oznaczyć z ang. Lockout i Tagout),</w:t>
            </w:r>
          </w:p>
          <w:p w14:paraId="71E1C525" w14:textId="493CCA5E" w:rsidR="0029758A" w:rsidRDefault="0029758A" w:rsidP="0029758A">
            <w:r>
              <w:t>Stosuje środki ochrony osobistej.</w:t>
            </w:r>
          </w:p>
          <w:p w14:paraId="681B1501" w14:textId="77777777" w:rsidR="0029758A" w:rsidRDefault="0029758A" w:rsidP="0029758A">
            <w:r>
              <w:t>Korzysta z dokumentacji technicznej.</w:t>
            </w:r>
          </w:p>
          <w:p w14:paraId="3B68ADD4" w14:textId="5321A531" w:rsidR="0029758A" w:rsidRDefault="0029758A" w:rsidP="0029758A">
            <w:r>
              <w:t xml:space="preserve">Przygotowuje miejsce </w:t>
            </w:r>
            <w:r w:rsidR="007713D6">
              <w:t>instalacji stacji ładowania</w:t>
            </w:r>
            <w:r>
              <w:t xml:space="preserve"> i zabezpiecza je zgodnie z obowiązującymi przepisami osób i otoczenia przed możliwością wystąpienia zagrożenia na stanowisku. </w:t>
            </w:r>
          </w:p>
          <w:p w14:paraId="20053329" w14:textId="77777777" w:rsidR="0029758A" w:rsidRDefault="007713D6" w:rsidP="0029758A">
            <w:r>
              <w:t>A</w:t>
            </w:r>
            <w:r w:rsidRPr="007713D6">
              <w:t>nalizuje warunki techniczne i przyłączeniowe</w:t>
            </w:r>
            <w:r>
              <w:t>.</w:t>
            </w:r>
          </w:p>
          <w:p w14:paraId="195E7816" w14:textId="77777777" w:rsidR="007713D6" w:rsidRDefault="007713D6" w:rsidP="0029758A">
            <w:r>
              <w:t>U</w:t>
            </w:r>
            <w:r w:rsidRPr="007713D6">
              <w:t>względnia wymagania ochrony przeciwporażeniowej i odgromowej.</w:t>
            </w:r>
          </w:p>
          <w:p w14:paraId="396773A8" w14:textId="77777777" w:rsidR="007713D6" w:rsidRDefault="007713D6" w:rsidP="0029758A">
            <w:r>
              <w:t>I</w:t>
            </w:r>
            <w:r w:rsidRPr="007713D6">
              <w:t xml:space="preserve">nstaluje </w:t>
            </w:r>
            <w:r>
              <w:t>stację ładowania</w:t>
            </w:r>
            <w:r w:rsidRPr="007713D6">
              <w:t xml:space="preserve"> zgodnie z dokumentacją techniczną,</w:t>
            </w:r>
          </w:p>
          <w:p w14:paraId="1024C148" w14:textId="77777777" w:rsidR="007713D6" w:rsidRDefault="007713D6" w:rsidP="0029758A">
            <w:r>
              <w:t>P</w:t>
            </w:r>
            <w:r w:rsidRPr="007713D6">
              <w:t>odłącza przewody zasilające, sterujące i ochronne,</w:t>
            </w:r>
          </w:p>
          <w:p w14:paraId="1960EC2D" w14:textId="77777777" w:rsidR="007713D6" w:rsidRDefault="007713D6" w:rsidP="0029758A">
            <w:r>
              <w:t>W</w:t>
            </w:r>
            <w:r w:rsidRPr="007713D6">
              <w:t>ykonuje wymagane pomiary powykonawcze,</w:t>
            </w:r>
          </w:p>
          <w:p w14:paraId="0B86590F" w14:textId="77777777" w:rsidR="007713D6" w:rsidRDefault="007713D6" w:rsidP="0029758A">
            <w:r>
              <w:t>U</w:t>
            </w:r>
            <w:r w:rsidRPr="007713D6">
              <w:t>ruchamia stację</w:t>
            </w:r>
            <w:r>
              <w:t xml:space="preserve"> ładowania,</w:t>
            </w:r>
          </w:p>
          <w:p w14:paraId="24DBBFE6" w14:textId="1F00BA91" w:rsidR="007713D6" w:rsidRDefault="007713D6" w:rsidP="0029758A">
            <w:r w:rsidRPr="007713D6">
              <w:t>Konfiguruje stację po instalacji</w:t>
            </w:r>
            <w:r>
              <w:t>,</w:t>
            </w:r>
          </w:p>
          <w:p w14:paraId="3A6DE7C5" w14:textId="77777777" w:rsidR="007713D6" w:rsidRDefault="007713D6" w:rsidP="0029758A">
            <w:r w:rsidRPr="007713D6">
              <w:t>Konfiguruje komunikację OCPP</w:t>
            </w:r>
            <w:r>
              <w:t>,</w:t>
            </w:r>
          </w:p>
          <w:p w14:paraId="6369287A" w14:textId="6ED3F58B" w:rsidR="004152E4" w:rsidRPr="00FD348D" w:rsidRDefault="004152E4" w:rsidP="0029758A">
            <w:r>
              <w:t>Dokumentuje czynności instalacyjne dla np. inwestora, Urzędu Dozoru Technicznego (UDT).</w:t>
            </w:r>
          </w:p>
        </w:tc>
      </w:tr>
      <w:tr w:rsidR="0029758A" w:rsidRPr="00E07576" w14:paraId="65A9D5F4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C899871" w14:textId="5B844C3B" w:rsidR="0029758A" w:rsidRPr="00DD5B5F" w:rsidRDefault="0029758A" w:rsidP="0029758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29758A" w14:paraId="75789089" w14:textId="77777777" w:rsidTr="005B232A">
        <w:trPr>
          <w:trHeight w:val="810"/>
        </w:trPr>
        <w:tc>
          <w:tcPr>
            <w:tcW w:w="9697" w:type="dxa"/>
          </w:tcPr>
          <w:p w14:paraId="51B3D7E8" w14:textId="332F5F82" w:rsidR="0029758A" w:rsidRDefault="004152E4" w:rsidP="004152E4">
            <w:r>
              <w:t>P</w:t>
            </w:r>
            <w:r w:rsidR="0029758A">
              <w:t xml:space="preserve">osługuje się narzędziami cyfrowymi </w:t>
            </w:r>
          </w:p>
          <w:p w14:paraId="7B6EC63B" w14:textId="4AB5AD62" w:rsidR="0029758A" w:rsidRPr="008C033E" w:rsidRDefault="004152E4" w:rsidP="004152E4">
            <w:r>
              <w:t>P</w:t>
            </w:r>
            <w:r w:rsidR="0029758A" w:rsidRPr="008C033E">
              <w:t xml:space="preserve">ozyskuje dane </w:t>
            </w:r>
          </w:p>
          <w:p w14:paraId="3F81E69B" w14:textId="69EBB707" w:rsidR="0029758A" w:rsidRPr="008C033E" w:rsidRDefault="004152E4" w:rsidP="004152E4">
            <w:pPr>
              <w:rPr>
                <w:highlight w:val="red"/>
              </w:rPr>
            </w:pPr>
            <w:r>
              <w:t>G</w:t>
            </w:r>
            <w:r w:rsidR="0029758A" w:rsidRPr="008C033E">
              <w:t>eneruje</w:t>
            </w:r>
            <w:r w:rsidR="0029758A">
              <w:t xml:space="preserve"> raporty</w:t>
            </w:r>
          </w:p>
        </w:tc>
      </w:tr>
      <w:tr w:rsidR="0029758A" w:rsidRPr="00E07576" w14:paraId="1EF8B67B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D4DDBDF" w14:textId="1B3009B1" w:rsidR="0029758A" w:rsidRPr="00DD5B5F" w:rsidRDefault="0029758A" w:rsidP="0029758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29758A" w:rsidRPr="00444B13" w14:paraId="516EAFE6" w14:textId="77777777" w:rsidTr="005B232A">
        <w:trPr>
          <w:trHeight w:val="494"/>
        </w:trPr>
        <w:tc>
          <w:tcPr>
            <w:tcW w:w="9697" w:type="dxa"/>
          </w:tcPr>
          <w:p w14:paraId="513987F7" w14:textId="77777777" w:rsidR="0029758A" w:rsidRDefault="0029758A" w:rsidP="0029758A">
            <w:r>
              <w:t xml:space="preserve">Przestrzega procedur w zakresie zdrowia i bezpieczeństwa </w:t>
            </w:r>
          </w:p>
          <w:p w14:paraId="22073572" w14:textId="77777777" w:rsidR="0029758A" w:rsidRDefault="0029758A" w:rsidP="0029758A">
            <w:r>
              <w:t>Stosuje środki bezpieczeństwa w miejscu pracy</w:t>
            </w:r>
          </w:p>
          <w:p w14:paraId="600DE4DC" w14:textId="7A7A8F36" w:rsidR="00E81540" w:rsidRDefault="00E81540" w:rsidP="00E81540">
            <w:r>
              <w:t>Opisuje elektryczne układy napędowe</w:t>
            </w:r>
          </w:p>
          <w:p w14:paraId="467D5690" w14:textId="10251A9C" w:rsidR="00E81540" w:rsidRPr="00DD5B5F" w:rsidRDefault="00E81540" w:rsidP="00E81540">
            <w:pPr>
              <w:rPr>
                <w:highlight w:val="red"/>
              </w:rPr>
            </w:pPr>
            <w:r>
              <w:t>Dostosowuje harmonogramy przesyłu energii</w:t>
            </w:r>
          </w:p>
        </w:tc>
      </w:tr>
      <w:tr w:rsidR="0029758A" w:rsidRPr="00FA3D32" w14:paraId="38AC3107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E5EDF60" w14:textId="57D24965" w:rsidR="0029758A" w:rsidRPr="00470919" w:rsidRDefault="0029758A" w:rsidP="0029758A">
            <w:r w:rsidRPr="00470919">
              <w:rPr>
                <w:b/>
                <w:bCs/>
              </w:rPr>
              <w:t xml:space="preserve">Nazwa zajęć: </w:t>
            </w:r>
            <w:r w:rsidR="007713D6" w:rsidRPr="007713D6">
              <w:rPr>
                <w:b/>
                <w:bCs/>
              </w:rPr>
              <w:t>Czynności serwisowe stacji ładowania</w:t>
            </w:r>
          </w:p>
        </w:tc>
      </w:tr>
      <w:tr w:rsidR="0029758A" w:rsidRPr="00E07576" w14:paraId="2EBC9BFD" w14:textId="77777777" w:rsidTr="003D77D3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0E1BA80" w14:textId="3F9F8193" w:rsidR="0029758A" w:rsidRPr="00470919" w:rsidRDefault="0029758A" w:rsidP="0029758A">
            <w:pPr>
              <w:rPr>
                <w:b/>
                <w:bCs/>
              </w:rPr>
            </w:pPr>
            <w:r w:rsidRPr="00470919">
              <w:rPr>
                <w:b/>
                <w:bCs/>
              </w:rPr>
              <w:lastRenderedPageBreak/>
              <w:t>Oczekiwane efekty kształcenia: wiedza lub umiejętności zawodowe w zakresie dziedziny zawodowej, przydatne do wykonywania zawodu:</w:t>
            </w:r>
          </w:p>
        </w:tc>
      </w:tr>
      <w:tr w:rsidR="0029758A" w14:paraId="19D20FC8" w14:textId="77777777" w:rsidTr="005B232A">
        <w:trPr>
          <w:trHeight w:val="1116"/>
        </w:trPr>
        <w:tc>
          <w:tcPr>
            <w:tcW w:w="9697" w:type="dxa"/>
          </w:tcPr>
          <w:p w14:paraId="22A2F59F" w14:textId="6EEE80D8" w:rsidR="0029758A" w:rsidRPr="007713D6" w:rsidRDefault="0029758A" w:rsidP="0029758A">
            <w:r w:rsidRPr="007713D6">
              <w:t xml:space="preserve">Stosuje normy i BHP w obsłudze </w:t>
            </w:r>
            <w:r w:rsidR="007713D6" w:rsidRPr="007713D6">
              <w:t>stacji ładowania</w:t>
            </w:r>
            <w:r w:rsidR="007713D6">
              <w:t xml:space="preserve"> jak np. </w:t>
            </w:r>
            <w:r w:rsidR="007713D6" w:rsidRPr="007713D6">
              <w:t xml:space="preserve">LOTO – zamknąć i oznaczyć </w:t>
            </w:r>
            <w:r w:rsidR="007713D6">
              <w:t>(</w:t>
            </w:r>
            <w:r w:rsidR="007713D6" w:rsidRPr="007713D6">
              <w:t>z ang. Lockout i Tagout),</w:t>
            </w:r>
          </w:p>
          <w:p w14:paraId="60B5ABFA" w14:textId="053DBDFA" w:rsidR="0029758A" w:rsidRDefault="0029758A" w:rsidP="0029758A">
            <w:r w:rsidRPr="007713D6">
              <w:t>Korzysta z dokumentacji technicznej</w:t>
            </w:r>
            <w:r w:rsidR="007713D6">
              <w:t>,</w:t>
            </w:r>
          </w:p>
          <w:p w14:paraId="3D8DFF67" w14:textId="7B679A54" w:rsidR="007713D6" w:rsidRPr="007713D6" w:rsidRDefault="007713D6" w:rsidP="0029758A">
            <w:r>
              <w:t>Stosuje</w:t>
            </w:r>
            <w:r w:rsidRPr="007713D6">
              <w:t xml:space="preserve"> środki ochrony indywidualnej (ŚOI)</w:t>
            </w:r>
            <w:r>
              <w:t>,</w:t>
            </w:r>
          </w:p>
          <w:p w14:paraId="5599EFE1" w14:textId="26615BD3" w:rsidR="0029758A" w:rsidRPr="007713D6" w:rsidRDefault="0029758A" w:rsidP="0029758A">
            <w:r w:rsidRPr="007713D6">
              <w:t>Pozyskuje dane z systemów diagnostycznych</w:t>
            </w:r>
            <w:r w:rsidR="007713D6">
              <w:t>,</w:t>
            </w:r>
          </w:p>
          <w:p w14:paraId="3C97B573" w14:textId="39748D5D" w:rsidR="0029758A" w:rsidRPr="007713D6" w:rsidRDefault="0029758A" w:rsidP="0029758A">
            <w:r w:rsidRPr="007713D6">
              <w:t>Ocenia zagrożenia systemu wysokiego napięcia</w:t>
            </w:r>
            <w:r w:rsidR="007713D6">
              <w:t>,</w:t>
            </w:r>
          </w:p>
          <w:p w14:paraId="676E8A87" w14:textId="55619E38" w:rsidR="0029758A" w:rsidRDefault="0029758A" w:rsidP="0029758A">
            <w:r w:rsidRPr="007713D6">
              <w:t>Dobiera narzędzia pomiarowe w obszarach pomiarów wymaganych dla stacji ładowania</w:t>
            </w:r>
            <w:r w:rsidR="007713D6">
              <w:t>,</w:t>
            </w:r>
          </w:p>
          <w:p w14:paraId="392DF3BF" w14:textId="77777777" w:rsidR="007713D6" w:rsidRDefault="007713D6" w:rsidP="0029758A">
            <w:r w:rsidRPr="007713D6">
              <w:t>Weryfikuje układy ochronne i zabezpieczenia</w:t>
            </w:r>
            <w:r>
              <w:t xml:space="preserve"> (jak np.</w:t>
            </w:r>
            <w:r w:rsidRPr="007713D6">
              <w:t xml:space="preserve"> RCD (typ A-EV/B) i MCB,</w:t>
            </w:r>
            <w:r>
              <w:t xml:space="preserve"> </w:t>
            </w:r>
            <w:r w:rsidRPr="007713D6">
              <w:t>SPD, połączenia wyrównawcze i PE</w:t>
            </w:r>
            <w:r>
              <w:t>, uziemienie, połączenia ochronne),</w:t>
            </w:r>
          </w:p>
          <w:p w14:paraId="4BE7391F" w14:textId="32ECCBC4" w:rsidR="007713D6" w:rsidRDefault="007713D6" w:rsidP="0029758A">
            <w:r>
              <w:t>W</w:t>
            </w:r>
            <w:r w:rsidRPr="007713D6">
              <w:t>ykonuje bezpieczne odłączenie stacji od zasilania,</w:t>
            </w:r>
          </w:p>
          <w:p w14:paraId="19D15C21" w14:textId="77777777" w:rsidR="0029758A" w:rsidRDefault="007713D6" w:rsidP="004152E4">
            <w:pPr>
              <w:pStyle w:val="TableParagraph"/>
              <w:tabs>
                <w:tab w:val="left" w:pos="470"/>
              </w:tabs>
              <w:ind w:left="0"/>
              <w:rPr>
                <w:rFonts w:cs="Times New Roman"/>
              </w:rPr>
            </w:pPr>
            <w:r w:rsidRPr="007713D6">
              <w:t>Wykonuje pomiary kontrolne wymagane przez normy i UDT</w:t>
            </w:r>
            <w:r>
              <w:t xml:space="preserve"> (np. rezystancja </w:t>
            </w:r>
            <w:r w:rsidR="004152E4" w:rsidRPr="004152E4">
              <w:rPr>
                <w:rFonts w:cs="Times New Roman"/>
              </w:rPr>
              <w:t>przewodu ochronnego PE</w:t>
            </w:r>
            <w:r w:rsidR="004152E4">
              <w:rPr>
                <w:rFonts w:cs="Times New Roman"/>
              </w:rPr>
              <w:t xml:space="preserve">, </w:t>
            </w:r>
            <w:r w:rsidR="004152E4" w:rsidRPr="004152E4">
              <w:rPr>
                <w:rFonts w:cs="Times New Roman"/>
              </w:rPr>
              <w:t>RCD (czas zadziałania, prąd wyzwalający),</w:t>
            </w:r>
            <w:r w:rsidR="004152E4">
              <w:rPr>
                <w:rFonts w:cs="Times New Roman"/>
              </w:rPr>
              <w:t xml:space="preserve"> </w:t>
            </w:r>
            <w:r w:rsidR="004152E4" w:rsidRPr="004152E4">
              <w:rPr>
                <w:rFonts w:cs="Times New Roman"/>
              </w:rPr>
              <w:t>impedancj</w:t>
            </w:r>
            <w:r w:rsidR="004152E4">
              <w:rPr>
                <w:rFonts w:cs="Times New Roman"/>
              </w:rPr>
              <w:t>a</w:t>
            </w:r>
            <w:r w:rsidR="004152E4" w:rsidRPr="004152E4">
              <w:rPr>
                <w:rFonts w:cs="Times New Roman"/>
              </w:rPr>
              <w:t xml:space="preserve"> pętli zwarcia w obwodzie AC,</w:t>
            </w:r>
            <w:r w:rsidR="004152E4">
              <w:rPr>
                <w:rFonts w:cs="Times New Roman"/>
              </w:rPr>
              <w:t xml:space="preserve"> </w:t>
            </w:r>
            <w:r w:rsidR="004152E4" w:rsidRPr="004152E4">
              <w:rPr>
                <w:rFonts w:cs="Times New Roman"/>
              </w:rPr>
              <w:t>skuteczność uziemienia i zgodność z PN-EN 61851 i PN-HD 60364</w:t>
            </w:r>
            <w:r w:rsidR="004152E4">
              <w:rPr>
                <w:rFonts w:cs="Times New Roman"/>
              </w:rPr>
              <w:t>),</w:t>
            </w:r>
          </w:p>
          <w:p w14:paraId="6EC0AA00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  <w:rPr>
                <w:rFonts w:cs="Times New Roman"/>
              </w:rPr>
            </w:pPr>
          </w:p>
          <w:p w14:paraId="6551BD1A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  <w:r>
              <w:t>D</w:t>
            </w:r>
            <w:r w:rsidRPr="004152E4">
              <w:t>iagnozuje typowe usterki sprzętowe (stycznik, przegrzewanie, przewody)</w:t>
            </w:r>
            <w:r>
              <w:t xml:space="preserve"> i programowe (OCPP, firmware, konfiguracja),</w:t>
            </w:r>
          </w:p>
          <w:p w14:paraId="57DE2BEE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  <w:p w14:paraId="4288DB34" w14:textId="76B0DCEA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  <w:r>
              <w:t>Prowadzi dokumentację prac (np. dokumentacja dla zleceniodawcy/inwestora/UDT),</w:t>
            </w:r>
          </w:p>
          <w:p w14:paraId="2E5CDC05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  <w:p w14:paraId="33B8DD15" w14:textId="123D77E5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  <w:r>
              <w:t>D</w:t>
            </w:r>
            <w:r w:rsidRPr="004152E4">
              <w:t>obiera przyrządy pomiarowe z aktualnym wzorcowaniem,</w:t>
            </w:r>
          </w:p>
          <w:p w14:paraId="43DC7FDD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  <w:p w14:paraId="1F6F180E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  <w:r w:rsidRPr="004152E4">
              <w:t>Wykonuje pomiary odbiorcze i okresowe</w:t>
            </w:r>
            <w:r>
              <w:t>,</w:t>
            </w:r>
          </w:p>
          <w:p w14:paraId="41C4200C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  <w:p w14:paraId="73879363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  <w:r w:rsidRPr="004152E4">
              <w:t>Zarządza bezpieczeństwem i rozliczeniami energii</w:t>
            </w:r>
            <w:r>
              <w:t>,</w:t>
            </w:r>
          </w:p>
          <w:p w14:paraId="0FB12617" w14:textId="77777777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  <w:p w14:paraId="14B90A6F" w14:textId="79F9DF58" w:rsidR="004152E4" w:rsidRDefault="004152E4" w:rsidP="004152E4">
            <w:pPr>
              <w:pStyle w:val="TableParagraph"/>
              <w:tabs>
                <w:tab w:val="left" w:pos="470"/>
              </w:tabs>
              <w:ind w:left="0"/>
            </w:pPr>
          </w:p>
        </w:tc>
      </w:tr>
      <w:tr w:rsidR="0029758A" w:rsidRPr="00E07576" w14:paraId="5A99D2D7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AB41BC3" w14:textId="430128FA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29758A" w14:paraId="10A04E25" w14:textId="77777777" w:rsidTr="005B232A">
        <w:trPr>
          <w:trHeight w:val="810"/>
        </w:trPr>
        <w:tc>
          <w:tcPr>
            <w:tcW w:w="9697" w:type="dxa"/>
          </w:tcPr>
          <w:p w14:paraId="1E8DD7B0" w14:textId="41737694" w:rsidR="0029758A" w:rsidRDefault="0029758A" w:rsidP="0029758A">
            <w:r>
              <w:t xml:space="preserve">Posługuje się narzędziami cyfrowymi </w:t>
            </w:r>
          </w:p>
          <w:p w14:paraId="42983EBF" w14:textId="533D790B" w:rsidR="0029758A" w:rsidRPr="008C033E" w:rsidRDefault="0029758A" w:rsidP="0029758A">
            <w:r>
              <w:t>P</w:t>
            </w:r>
            <w:r w:rsidRPr="008C033E">
              <w:t xml:space="preserve">ozyskuje dane </w:t>
            </w:r>
          </w:p>
          <w:p w14:paraId="5A3A7B7D" w14:textId="1C9BD3A1" w:rsidR="0029758A" w:rsidRDefault="0029758A" w:rsidP="0029758A">
            <w:r>
              <w:t>G</w:t>
            </w:r>
            <w:r w:rsidRPr="008C033E">
              <w:t>eneruje</w:t>
            </w:r>
            <w:r>
              <w:t xml:space="preserve"> raporty</w:t>
            </w:r>
          </w:p>
        </w:tc>
      </w:tr>
      <w:tr w:rsidR="0029758A" w:rsidRPr="00E07576" w14:paraId="3E1BFCB1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0E28BD9" w14:textId="14A16C45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29758A" w:rsidRPr="00444B13" w14:paraId="4193B387" w14:textId="77777777" w:rsidTr="005B232A">
        <w:trPr>
          <w:trHeight w:val="494"/>
        </w:trPr>
        <w:tc>
          <w:tcPr>
            <w:tcW w:w="9697" w:type="dxa"/>
          </w:tcPr>
          <w:p w14:paraId="60EDBBED" w14:textId="77777777" w:rsidR="00E81540" w:rsidRDefault="00E81540" w:rsidP="00E81540">
            <w:r>
              <w:lastRenderedPageBreak/>
              <w:t>Opisuje elektryczne układy napędowe.</w:t>
            </w:r>
          </w:p>
          <w:p w14:paraId="52B9EBB0" w14:textId="1B4F6A9C" w:rsidR="0029758A" w:rsidRPr="00444B13" w:rsidRDefault="00E81540" w:rsidP="00E81540">
            <w:r>
              <w:t>Dostosowuje harmonogramy przesyłu energii.</w:t>
            </w:r>
          </w:p>
        </w:tc>
      </w:tr>
      <w:tr w:rsidR="0029758A" w:rsidRPr="009C4868" w14:paraId="12E3E55B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B9D0C0B" w14:textId="35965D30" w:rsidR="0029758A" w:rsidRPr="001839B5" w:rsidRDefault="0029758A" w:rsidP="0029758A">
            <w:pPr>
              <w:rPr>
                <w:b/>
                <w:bCs/>
              </w:rPr>
            </w:pPr>
            <w:r w:rsidRPr="001839B5">
              <w:rPr>
                <w:b/>
                <w:bCs/>
              </w:rPr>
              <w:t xml:space="preserve">Nazwa zajęć: </w:t>
            </w:r>
            <w:r w:rsidRPr="004D1C9C">
              <w:rPr>
                <w:b/>
                <w:bCs/>
              </w:rPr>
              <w:t>Monitorowanie i zarządzanie stacjami ładowania</w:t>
            </w:r>
          </w:p>
        </w:tc>
      </w:tr>
      <w:tr w:rsidR="0029758A" w:rsidRPr="00E07576" w14:paraId="4BA1AE03" w14:textId="77777777" w:rsidTr="001839B5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BE281FD" w14:textId="77777777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29758A" w14:paraId="7958BA45" w14:textId="77777777" w:rsidTr="001839B5">
        <w:trPr>
          <w:trHeight w:val="1116"/>
        </w:trPr>
        <w:tc>
          <w:tcPr>
            <w:tcW w:w="9697" w:type="dxa"/>
          </w:tcPr>
          <w:p w14:paraId="5650D5B9" w14:textId="77777777" w:rsidR="00E81540" w:rsidRDefault="00E81540" w:rsidP="00E81540">
            <w:pPr>
              <w:ind w:left="32"/>
            </w:pPr>
            <w:r>
              <w:t>Określa typowe elementy systemów pod kątem architektury technicznej,</w:t>
            </w:r>
          </w:p>
          <w:p w14:paraId="76241084" w14:textId="77777777" w:rsidR="00E81540" w:rsidRDefault="00E81540" w:rsidP="00E81540">
            <w:pPr>
              <w:ind w:left="32"/>
            </w:pPr>
            <w:r>
              <w:t>Wymienia bloki funkcjonalne systemów typu CPMS i eMSP,</w:t>
            </w:r>
          </w:p>
          <w:p w14:paraId="609A90E3" w14:textId="77777777" w:rsidR="00E81540" w:rsidRDefault="00E81540" w:rsidP="00E81540">
            <w:pPr>
              <w:ind w:left="32"/>
            </w:pPr>
            <w:r>
              <w:t>Opisuje role protokołów wykorzystywanych w elektromobilności,</w:t>
            </w:r>
          </w:p>
          <w:p w14:paraId="56BB2CA0" w14:textId="4303298E" w:rsidR="00E81540" w:rsidRDefault="00E81540" w:rsidP="00E81540">
            <w:pPr>
              <w:ind w:left="32"/>
            </w:pPr>
            <w:r>
              <w:t>Charakteryzuje struktury danych logów technicznych pochodzących z systemów CPMS i eMPS,</w:t>
            </w:r>
          </w:p>
          <w:p w14:paraId="0E69A4F8" w14:textId="1D403377" w:rsidR="00E81540" w:rsidRDefault="00E81540" w:rsidP="00E81540">
            <w:pPr>
              <w:ind w:left="32"/>
            </w:pPr>
            <w:r>
              <w:t>Wskazuje kategorię (krytyczność) błędu,</w:t>
            </w:r>
          </w:p>
          <w:p w14:paraId="05EA86DA" w14:textId="77777777" w:rsidR="00E81540" w:rsidRDefault="00E81540" w:rsidP="00E81540">
            <w:pPr>
              <w:ind w:left="32"/>
            </w:pPr>
            <w:r>
              <w:t>Definiuje ofertę – taryfę w ramach usługi ładowania,</w:t>
            </w:r>
          </w:p>
          <w:p w14:paraId="11441AFC" w14:textId="77777777" w:rsidR="00E81540" w:rsidRDefault="00E81540" w:rsidP="00E81540">
            <w:pPr>
              <w:ind w:left="32"/>
            </w:pPr>
            <w:r>
              <w:t>Opisuje możliwe do implementacji parametry oferty,</w:t>
            </w:r>
          </w:p>
          <w:p w14:paraId="387A7D0A" w14:textId="1DA34FFC" w:rsidR="00E81540" w:rsidRDefault="00E81540" w:rsidP="00E81540">
            <w:pPr>
              <w:ind w:left="32"/>
            </w:pPr>
            <w:r>
              <w:t>Rozróżnia ofertę rodzimą i ofertę roamingową,</w:t>
            </w:r>
          </w:p>
          <w:p w14:paraId="4E1BB1B0" w14:textId="77777777" w:rsidR="00E81540" w:rsidRDefault="00E81540" w:rsidP="00E81540">
            <w:pPr>
              <w:ind w:left="32"/>
            </w:pPr>
            <w:r>
              <w:t>Wskazuje rodzaje typowych fraudów w sieciach ładowania,</w:t>
            </w:r>
          </w:p>
          <w:p w14:paraId="177C8A9A" w14:textId="77777777" w:rsidR="00E81540" w:rsidRDefault="00E81540" w:rsidP="00E81540">
            <w:pPr>
              <w:ind w:left="32"/>
            </w:pPr>
            <w:r>
              <w:t>Diagnozuje błędy i odczytuje logi,</w:t>
            </w:r>
          </w:p>
          <w:p w14:paraId="1FDDEB5F" w14:textId="77777777" w:rsidR="00E81540" w:rsidRDefault="00E81540" w:rsidP="00E81540">
            <w:pPr>
              <w:ind w:left="32"/>
            </w:pPr>
            <w:r>
              <w:t>Konfiguruje parametry pracy stacji (limity mocy, profile),</w:t>
            </w:r>
          </w:p>
          <w:p w14:paraId="1F9B628C" w14:textId="77777777" w:rsidR="00E81540" w:rsidRDefault="00E81540" w:rsidP="00E81540">
            <w:pPr>
              <w:ind w:left="32"/>
            </w:pPr>
            <w:r>
              <w:t>Integruje stację z systemem CMS/OCPP,</w:t>
            </w:r>
          </w:p>
          <w:p w14:paraId="149D8089" w14:textId="27204FD4" w:rsidR="0029758A" w:rsidRDefault="00E81540" w:rsidP="00E81540">
            <w:pPr>
              <w:ind w:left="32"/>
            </w:pPr>
            <w:r>
              <w:t>Weryfikuje komunikację z backendem i odbiera potwierdzenia.</w:t>
            </w:r>
          </w:p>
        </w:tc>
      </w:tr>
      <w:tr w:rsidR="0029758A" w:rsidRPr="00E07576" w14:paraId="742AB3D5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BEED33D" w14:textId="49658D3F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29758A" w14:paraId="6C970039" w14:textId="77777777" w:rsidTr="001839B5">
        <w:trPr>
          <w:trHeight w:val="810"/>
        </w:trPr>
        <w:tc>
          <w:tcPr>
            <w:tcW w:w="9697" w:type="dxa"/>
          </w:tcPr>
          <w:p w14:paraId="239139DE" w14:textId="77777777" w:rsidR="0029758A" w:rsidRDefault="0029758A" w:rsidP="0029758A">
            <w:r>
              <w:t>Posługuje się narzędziami cyfrowymi</w:t>
            </w:r>
          </w:p>
          <w:p w14:paraId="1565B778" w14:textId="77777777" w:rsidR="0029758A" w:rsidRDefault="0029758A" w:rsidP="0029758A">
            <w:r>
              <w:t>Pozyskuje dane</w:t>
            </w:r>
          </w:p>
          <w:p w14:paraId="2541E911" w14:textId="7A3C2472" w:rsidR="0029758A" w:rsidRDefault="0029758A" w:rsidP="0029758A">
            <w:r>
              <w:t>Generuje raporty pomiarowe</w:t>
            </w:r>
          </w:p>
        </w:tc>
      </w:tr>
      <w:tr w:rsidR="0029758A" w:rsidRPr="00E07576" w14:paraId="5FEE96E8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7F07CBF" w14:textId="77777777" w:rsidR="0029758A" w:rsidRPr="00E07576" w:rsidRDefault="0029758A" w:rsidP="0029758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29758A" w:rsidRPr="00444B13" w14:paraId="71A9777A" w14:textId="77777777" w:rsidTr="001839B5">
        <w:trPr>
          <w:trHeight w:val="494"/>
        </w:trPr>
        <w:tc>
          <w:tcPr>
            <w:tcW w:w="9697" w:type="dxa"/>
          </w:tcPr>
          <w:p w14:paraId="6640A14D" w14:textId="77777777" w:rsidR="008202AF" w:rsidRDefault="008202AF" w:rsidP="008202AF">
            <w:r>
              <w:t>Opisuje elektryczne układy napędowe.</w:t>
            </w:r>
          </w:p>
          <w:p w14:paraId="5F20354B" w14:textId="587903BA" w:rsidR="0029758A" w:rsidRPr="00444B13" w:rsidRDefault="008202AF" w:rsidP="008202AF">
            <w:r>
              <w:lastRenderedPageBreak/>
              <w:t>Dostosowuje harmonogramy przesyłu energii.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118B7E39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PN-EN 50160 dot. parametrów napięcia zasilającego w publicznych sieciach elektroenergetycznych PN- IEC 61851 dot. systemów przewodowego ładowania pojazdów elektrycznych</w:t>
            </w:r>
          </w:p>
          <w:p w14:paraId="2F760981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IEC IEC 62196 dot. wymogów dla interfejsów ładowania pojazdów elektrycznych</w:t>
            </w:r>
          </w:p>
          <w:p w14:paraId="5E576790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5A2CE703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PN-EN 17409 dot. pojazdów z napędem elektrycznym - Połączenie z zewnętrznym źródłem zasilania - Wymagania bezpieczeństwa</w:t>
            </w:r>
          </w:p>
          <w:p w14:paraId="07A746EB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37585D45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53FEE6DF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 xml:space="preserve">Arkadiusz Małek, „Budowa pojazdów elektrycznych”, Tom XXIII WSEI 2021 </w:t>
            </w:r>
          </w:p>
          <w:p w14:paraId="74EBEBCD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 xml:space="preserve">https://wydawnictwo.wsei.eu/sklep/budowa-pojazdow-elektrycznych-tom-xxiii/ </w:t>
            </w:r>
          </w:p>
          <w:p w14:paraId="2777DD40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Artur Henning, Przemysław Gogojewicz, A.Mateusz Maciejczyk, „Bezpieczeństwo i higiena pracy przy obsłudze samochodów elektrycznych i stacji ładowania”, Wiedza i Praktyka 2025</w:t>
            </w:r>
          </w:p>
          <w:p w14:paraId="3C6FB871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Urząd Dozoru Technicznego, „Stacje i punkty ładowania pojazdów elektrycznych”, UDT 2023</w:t>
            </w:r>
          </w:p>
          <w:p w14:paraId="250398E0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https://www.udt.gov.pl/poradniki-i-przewodniki/przewodnik-udt-stacje-i-punkty-ladowania-pojazdow-elektrycznych</w:t>
            </w:r>
          </w:p>
          <w:p w14:paraId="160C8A57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Urząd Dozoru Technicznego, „Ochrona odgromowa i przeciwprzepięciowa w infrastrukturze ładowania pojazdów elektrycznych – Poradnik”, UDT 2024</w:t>
            </w:r>
          </w:p>
          <w:p w14:paraId="7A23F196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https://www.udt.gov.pl/poradniki-i-przewodniki/ochrona-odgromowa-i-przeciwprzepieciowa-w-infrastrukturze-ladowania-pojazdow-elektrycznych-poradnik</w:t>
            </w:r>
          </w:p>
          <w:p w14:paraId="4FF7FA5B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Urząd Dozoru Technicznego, „Przewodnik w zakresie wykonywania pomiarów elektrycznych stacji ładowania oraz sposoby ich dokumentowania”, UDT 2024</w:t>
            </w:r>
          </w:p>
          <w:p w14:paraId="774C606E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https://www.udt.gov.pl/poradniki-i-przewodniki/przewodnik-w-zakresie-wykonywania-pomiarow-elektrycznych-stacji-ladowania-oraz-sposoby-ich-dokumentowania</w:t>
            </w:r>
          </w:p>
          <w:p w14:paraId="481C40F7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Urząd Dozoru Technicznego, „DOSTĘPNE STACJE I PUNKTY ŁADOWANIA EV”, UDT 2025</w:t>
            </w:r>
          </w:p>
          <w:p w14:paraId="7EF517DF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https://www.udt.gov.pl/poradniki-i-przewodniki/przewodnik-dostepne-stacje-i-punkty-ladowania-ev</w:t>
            </w:r>
          </w:p>
          <w:p w14:paraId="1BA1C58B" w14:textId="77777777" w:rsidR="00777B3B" w:rsidRPr="00777B3B" w:rsidRDefault="00777B3B" w:rsidP="00777B3B">
            <w:pPr>
              <w:spacing w:after="0"/>
              <w:rPr>
                <w:lang w:val="it-IT"/>
              </w:rPr>
            </w:pPr>
            <w:r w:rsidRPr="00777B3B">
              <w:rPr>
                <w:lang w:val="it-IT"/>
              </w:rPr>
              <w:t>Urząd Dozoru Technicznego, „Kompleksowy przewodnik po infrastrukturze ładowania ciężarowych pojazdów elektrycznych eHDV”, UDT 2025</w:t>
            </w:r>
          </w:p>
          <w:p w14:paraId="28E4FF08" w14:textId="28241EF8" w:rsidR="00775529" w:rsidRPr="00775529" w:rsidRDefault="00777B3B" w:rsidP="00777B3B">
            <w:pPr>
              <w:spacing w:after="0"/>
            </w:pPr>
            <w:r w:rsidRPr="00777B3B">
              <w:rPr>
                <w:lang w:val="it-IT"/>
              </w:rPr>
              <w:lastRenderedPageBreak/>
              <w:t>https://www.udt.gov.pl/poradniki-i-przewodniki/kompleksowy-przewodnik-po-infrastrukturze-ladowania-ciezarowych-pojazdow-elektrycznych-ehdv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lastRenderedPageBreak/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7AE146D2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Laptop</w:t>
            </w:r>
          </w:p>
          <w:p w14:paraId="2F66D569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Monitor interaktywny</w:t>
            </w:r>
          </w:p>
          <w:p w14:paraId="1715DF02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Wizualizer</w:t>
            </w:r>
          </w:p>
          <w:p w14:paraId="3D191C9A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Oprogramowanie (MATLAB)</w:t>
            </w:r>
          </w:p>
          <w:p w14:paraId="076B27BA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Interaktywne narzędzia</w:t>
            </w:r>
          </w:p>
          <w:p w14:paraId="34DFADA3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AC</w:t>
            </w:r>
          </w:p>
          <w:p w14:paraId="0415205C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DC</w:t>
            </w:r>
          </w:p>
          <w:p w14:paraId="39870A3E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Narzędzia izolowane</w:t>
            </w:r>
          </w:p>
          <w:p w14:paraId="0CA0B56F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Mierniki elektryczne</w:t>
            </w:r>
          </w:p>
          <w:p w14:paraId="0C5D0CB0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Elektroniczny tester baterii i akumulatorów</w:t>
            </w:r>
          </w:p>
          <w:p w14:paraId="68BC799A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Multimetr cyfrowy</w:t>
            </w:r>
          </w:p>
          <w:p w14:paraId="2191F598" w14:textId="77777777" w:rsidR="007B16E7" w:rsidRPr="00062FCC" w:rsidRDefault="007B16E7" w:rsidP="007B16E7">
            <w:pPr>
              <w:pStyle w:val="Default"/>
              <w:rPr>
                <w:strike/>
                <w:sz w:val="22"/>
                <w:szCs w:val="22"/>
              </w:rPr>
            </w:pPr>
            <w:r w:rsidRPr="00062FCC">
              <w:rPr>
                <w:strike/>
                <w:sz w:val="22"/>
                <w:szCs w:val="22"/>
              </w:rPr>
              <w:t xml:space="preserve">Podnośnik </w:t>
            </w:r>
          </w:p>
          <w:p w14:paraId="77878A3A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Stacja obsługi samochodów elektrycznych</w:t>
            </w:r>
          </w:p>
          <w:p w14:paraId="25CED440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Model układu napędowego pojazdu elektrycznego</w:t>
            </w:r>
          </w:p>
          <w:p w14:paraId="0AB1546D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Komplet narzędzi mechanicznych </w:t>
            </w:r>
          </w:p>
          <w:p w14:paraId="50007D6A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Dydaktyczna stacji obsługi samochodów, motorowerów i motocykli </w:t>
            </w:r>
          </w:p>
          <w:p w14:paraId="3DD81E9B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samochód elektryczny</w:t>
            </w:r>
          </w:p>
          <w:p w14:paraId="271AE4A5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pojazd elektryczny do diagnostyki i symulator błędów</w:t>
            </w:r>
          </w:p>
          <w:p w14:paraId="4DC25A98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rower elektryczny</w:t>
            </w:r>
          </w:p>
          <w:p w14:paraId="341A4C17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skuter elektryczny </w:t>
            </w:r>
          </w:p>
          <w:p w14:paraId="6988CCC9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 SONEL MPI-530</w:t>
            </w:r>
          </w:p>
          <w:p w14:paraId="40252DA9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Adapter SONEL AGT 16P</w:t>
            </w:r>
          </w:p>
          <w:p w14:paraId="6D5582C9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Cęgi</w:t>
            </w:r>
          </w:p>
          <w:p w14:paraId="0487436C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kabel do ładowania</w:t>
            </w:r>
          </w:p>
          <w:p w14:paraId="54323703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PROFITEST EMOBILITY Gossen Metrawatt M513R; 2</w:t>
            </w:r>
          </w:p>
          <w:p w14:paraId="25755172" w14:textId="77777777" w:rsidR="007B16E7" w:rsidRPr="0044467B" w:rsidRDefault="007B16E7" w:rsidP="007B16E7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hydrauliczna zaciskarka do kabli </w:t>
            </w:r>
          </w:p>
          <w:p w14:paraId="4FA274BA" w14:textId="20C256B6" w:rsidR="00774324" w:rsidRDefault="007B16E7" w:rsidP="007B16E7">
            <w:pPr>
              <w:spacing w:after="0" w:line="240" w:lineRule="auto"/>
            </w:pPr>
            <w:r w:rsidRPr="0044467B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484D8B6F" w:rsidR="0093359E" w:rsidRDefault="00262018" w:rsidP="0093359E">
      <w:r>
        <w:t>Forma pisemna i praktyczna na koniec zajęć.</w:t>
      </w:r>
      <w:r w:rsidR="00DC340D">
        <w:t xml:space="preserve"> Egzamin 15 pytań zamkniętych. </w:t>
      </w:r>
      <w:r>
        <w:t xml:space="preserve"> 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6BD8E6B4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Autor/rzy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B62BF" w14:textId="77777777" w:rsidR="00CE7D17" w:rsidRDefault="00CE7D17" w:rsidP="002F7548">
      <w:pPr>
        <w:spacing w:after="0" w:line="240" w:lineRule="auto"/>
      </w:pPr>
      <w:r>
        <w:separator/>
      </w:r>
    </w:p>
  </w:endnote>
  <w:endnote w:type="continuationSeparator" w:id="0">
    <w:p w14:paraId="417B9226" w14:textId="77777777" w:rsidR="00CE7D17" w:rsidRDefault="00CE7D17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54871" w14:textId="77777777" w:rsidR="00CE7D17" w:rsidRDefault="00CE7D17" w:rsidP="002F7548">
      <w:pPr>
        <w:spacing w:after="0" w:line="240" w:lineRule="auto"/>
      </w:pPr>
      <w:r>
        <w:separator/>
      </w:r>
    </w:p>
  </w:footnote>
  <w:footnote w:type="continuationSeparator" w:id="0">
    <w:p w14:paraId="6C607508" w14:textId="77777777" w:rsidR="00CE7D17" w:rsidRDefault="00CE7D17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1853430523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26B8B"/>
    <w:rsid w:val="00030676"/>
    <w:rsid w:val="000328A1"/>
    <w:rsid w:val="00044AEC"/>
    <w:rsid w:val="00045C1D"/>
    <w:rsid w:val="00055D6F"/>
    <w:rsid w:val="00055ECD"/>
    <w:rsid w:val="00063124"/>
    <w:rsid w:val="00076068"/>
    <w:rsid w:val="00076A29"/>
    <w:rsid w:val="00082221"/>
    <w:rsid w:val="0008240C"/>
    <w:rsid w:val="00096ACE"/>
    <w:rsid w:val="000A4D2F"/>
    <w:rsid w:val="000B0F0F"/>
    <w:rsid w:val="000B62C0"/>
    <w:rsid w:val="000C13AC"/>
    <w:rsid w:val="000D1AB3"/>
    <w:rsid w:val="000D53F3"/>
    <w:rsid w:val="000D5CF9"/>
    <w:rsid w:val="000D7C95"/>
    <w:rsid w:val="000E5C18"/>
    <w:rsid w:val="000F53D0"/>
    <w:rsid w:val="001035D6"/>
    <w:rsid w:val="0010416E"/>
    <w:rsid w:val="00107C1A"/>
    <w:rsid w:val="00110985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5EE3"/>
    <w:rsid w:val="001D4740"/>
    <w:rsid w:val="001D6A0E"/>
    <w:rsid w:val="00205D2E"/>
    <w:rsid w:val="002105D5"/>
    <w:rsid w:val="0021208E"/>
    <w:rsid w:val="00220B71"/>
    <w:rsid w:val="00223FC3"/>
    <w:rsid w:val="002267D6"/>
    <w:rsid w:val="00227296"/>
    <w:rsid w:val="002404A9"/>
    <w:rsid w:val="002534D3"/>
    <w:rsid w:val="00254B7E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9758A"/>
    <w:rsid w:val="002A6AF7"/>
    <w:rsid w:val="002B42DC"/>
    <w:rsid w:val="002B4A58"/>
    <w:rsid w:val="002B4DA4"/>
    <w:rsid w:val="002C499C"/>
    <w:rsid w:val="002C5249"/>
    <w:rsid w:val="002D528C"/>
    <w:rsid w:val="002E226F"/>
    <w:rsid w:val="002E3634"/>
    <w:rsid w:val="002E53F3"/>
    <w:rsid w:val="002F7548"/>
    <w:rsid w:val="00300A70"/>
    <w:rsid w:val="00301401"/>
    <w:rsid w:val="00303AD3"/>
    <w:rsid w:val="00311412"/>
    <w:rsid w:val="00314877"/>
    <w:rsid w:val="003157F7"/>
    <w:rsid w:val="003278D4"/>
    <w:rsid w:val="00333308"/>
    <w:rsid w:val="00336196"/>
    <w:rsid w:val="003440D0"/>
    <w:rsid w:val="003539B8"/>
    <w:rsid w:val="0035533A"/>
    <w:rsid w:val="0036723C"/>
    <w:rsid w:val="0037041C"/>
    <w:rsid w:val="00387D96"/>
    <w:rsid w:val="00390833"/>
    <w:rsid w:val="003A1A62"/>
    <w:rsid w:val="003B0397"/>
    <w:rsid w:val="003C7AB7"/>
    <w:rsid w:val="003D4B2D"/>
    <w:rsid w:val="003D77D3"/>
    <w:rsid w:val="003E66E1"/>
    <w:rsid w:val="003F2171"/>
    <w:rsid w:val="003F372D"/>
    <w:rsid w:val="003F7048"/>
    <w:rsid w:val="0040106A"/>
    <w:rsid w:val="0040400D"/>
    <w:rsid w:val="004058D6"/>
    <w:rsid w:val="00407934"/>
    <w:rsid w:val="004121B5"/>
    <w:rsid w:val="004137B0"/>
    <w:rsid w:val="004152E4"/>
    <w:rsid w:val="00416C82"/>
    <w:rsid w:val="004207B2"/>
    <w:rsid w:val="00421A70"/>
    <w:rsid w:val="004265ED"/>
    <w:rsid w:val="00432FB8"/>
    <w:rsid w:val="00443D08"/>
    <w:rsid w:val="00444B13"/>
    <w:rsid w:val="0045682F"/>
    <w:rsid w:val="00470919"/>
    <w:rsid w:val="004721E2"/>
    <w:rsid w:val="00473A82"/>
    <w:rsid w:val="00473D9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5F19"/>
    <w:rsid w:val="005A6206"/>
    <w:rsid w:val="005B232A"/>
    <w:rsid w:val="005B266B"/>
    <w:rsid w:val="005C34A5"/>
    <w:rsid w:val="005C39EF"/>
    <w:rsid w:val="005E6363"/>
    <w:rsid w:val="005F1A51"/>
    <w:rsid w:val="005F76C2"/>
    <w:rsid w:val="00612379"/>
    <w:rsid w:val="006565C7"/>
    <w:rsid w:val="0065775F"/>
    <w:rsid w:val="0066172C"/>
    <w:rsid w:val="0066432A"/>
    <w:rsid w:val="00677E06"/>
    <w:rsid w:val="00680421"/>
    <w:rsid w:val="006A426A"/>
    <w:rsid w:val="006B1568"/>
    <w:rsid w:val="006B171C"/>
    <w:rsid w:val="006B3520"/>
    <w:rsid w:val="006C3C21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72D5"/>
    <w:rsid w:val="007713D6"/>
    <w:rsid w:val="00774324"/>
    <w:rsid w:val="00775529"/>
    <w:rsid w:val="0077583E"/>
    <w:rsid w:val="00777420"/>
    <w:rsid w:val="00777B3B"/>
    <w:rsid w:val="00777F82"/>
    <w:rsid w:val="00786576"/>
    <w:rsid w:val="00786654"/>
    <w:rsid w:val="00791703"/>
    <w:rsid w:val="00791B13"/>
    <w:rsid w:val="00794B91"/>
    <w:rsid w:val="007A73B3"/>
    <w:rsid w:val="007A7729"/>
    <w:rsid w:val="007B16E7"/>
    <w:rsid w:val="007B19D6"/>
    <w:rsid w:val="007B6899"/>
    <w:rsid w:val="007C1ACA"/>
    <w:rsid w:val="007E0094"/>
    <w:rsid w:val="007E1D87"/>
    <w:rsid w:val="007E2603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202AF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6743"/>
    <w:rsid w:val="0086318A"/>
    <w:rsid w:val="00865A83"/>
    <w:rsid w:val="00880DE1"/>
    <w:rsid w:val="0088192B"/>
    <w:rsid w:val="00882634"/>
    <w:rsid w:val="008863C6"/>
    <w:rsid w:val="00886490"/>
    <w:rsid w:val="00887774"/>
    <w:rsid w:val="0089127C"/>
    <w:rsid w:val="0089473D"/>
    <w:rsid w:val="00895D57"/>
    <w:rsid w:val="00897635"/>
    <w:rsid w:val="008C033E"/>
    <w:rsid w:val="008C7663"/>
    <w:rsid w:val="008D7ED0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94FF7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50BF"/>
    <w:rsid w:val="00A1679D"/>
    <w:rsid w:val="00A226A8"/>
    <w:rsid w:val="00A23824"/>
    <w:rsid w:val="00A26E0F"/>
    <w:rsid w:val="00A350B2"/>
    <w:rsid w:val="00A37AC2"/>
    <w:rsid w:val="00A46FE7"/>
    <w:rsid w:val="00A5172C"/>
    <w:rsid w:val="00A5572E"/>
    <w:rsid w:val="00A57464"/>
    <w:rsid w:val="00A60051"/>
    <w:rsid w:val="00A63C55"/>
    <w:rsid w:val="00A6502C"/>
    <w:rsid w:val="00A93774"/>
    <w:rsid w:val="00AA2874"/>
    <w:rsid w:val="00AA6AEE"/>
    <w:rsid w:val="00AB22BD"/>
    <w:rsid w:val="00AB394A"/>
    <w:rsid w:val="00AB3D5B"/>
    <w:rsid w:val="00AC489D"/>
    <w:rsid w:val="00AC5C5B"/>
    <w:rsid w:val="00AC60F8"/>
    <w:rsid w:val="00AD7016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72E70"/>
    <w:rsid w:val="00B74E11"/>
    <w:rsid w:val="00B80964"/>
    <w:rsid w:val="00B81914"/>
    <w:rsid w:val="00B845EB"/>
    <w:rsid w:val="00B87E18"/>
    <w:rsid w:val="00B922DC"/>
    <w:rsid w:val="00BA082B"/>
    <w:rsid w:val="00BA59A4"/>
    <w:rsid w:val="00BA6387"/>
    <w:rsid w:val="00BB0D93"/>
    <w:rsid w:val="00BB170B"/>
    <w:rsid w:val="00BB4D2E"/>
    <w:rsid w:val="00BD55B8"/>
    <w:rsid w:val="00BD568A"/>
    <w:rsid w:val="00BE641D"/>
    <w:rsid w:val="00BE6866"/>
    <w:rsid w:val="00BF5635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CE7D17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15EA"/>
    <w:rsid w:val="00DD47E4"/>
    <w:rsid w:val="00DD5B5F"/>
    <w:rsid w:val="00DD78AB"/>
    <w:rsid w:val="00DE233C"/>
    <w:rsid w:val="00DE2D76"/>
    <w:rsid w:val="00DF270D"/>
    <w:rsid w:val="00DF2862"/>
    <w:rsid w:val="00E03450"/>
    <w:rsid w:val="00E07576"/>
    <w:rsid w:val="00E07FC7"/>
    <w:rsid w:val="00E13769"/>
    <w:rsid w:val="00E220E4"/>
    <w:rsid w:val="00E22AF6"/>
    <w:rsid w:val="00E23440"/>
    <w:rsid w:val="00E25C96"/>
    <w:rsid w:val="00E34FA5"/>
    <w:rsid w:val="00E41391"/>
    <w:rsid w:val="00E458ED"/>
    <w:rsid w:val="00E45EFC"/>
    <w:rsid w:val="00E61692"/>
    <w:rsid w:val="00E63E2B"/>
    <w:rsid w:val="00E67BAE"/>
    <w:rsid w:val="00E75A0E"/>
    <w:rsid w:val="00E81540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2482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6</cp:revision>
  <cp:lastPrinted>2025-08-03T12:05:00Z</cp:lastPrinted>
  <dcterms:created xsi:type="dcterms:W3CDTF">2025-10-19T20:22:00Z</dcterms:created>
  <dcterms:modified xsi:type="dcterms:W3CDTF">2025-10-20T15:11:00Z</dcterms:modified>
</cp:coreProperties>
</file>